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310" w:rsidRDefault="00FB3310" w:rsidP="00FB3310">
      <w:pPr>
        <w:pStyle w:val="Default"/>
        <w:rPr>
          <w:b/>
          <w:bCs/>
          <w:sz w:val="23"/>
          <w:szCs w:val="23"/>
        </w:rPr>
      </w:pPr>
      <w:bookmarkStart w:id="0" w:name="_GoBack"/>
      <w:bookmarkEnd w:id="0"/>
      <w:r>
        <w:rPr>
          <w:b/>
          <w:bCs/>
          <w:sz w:val="23"/>
          <w:szCs w:val="23"/>
        </w:rPr>
        <w:t xml:space="preserve">INQUADRAMENTO URBANISTICO </w:t>
      </w:r>
    </w:p>
    <w:p w:rsidR="006D7E76" w:rsidRDefault="006D7E76" w:rsidP="00FB3310">
      <w:pPr>
        <w:pStyle w:val="Default"/>
        <w:rPr>
          <w:sz w:val="23"/>
          <w:szCs w:val="23"/>
        </w:rPr>
      </w:pPr>
    </w:p>
    <w:p w:rsidR="00FB3310" w:rsidRPr="006D7E76" w:rsidRDefault="00FB3310" w:rsidP="00FB3310">
      <w:pPr>
        <w:pStyle w:val="Default"/>
        <w:rPr>
          <w:sz w:val="22"/>
          <w:szCs w:val="22"/>
        </w:rPr>
      </w:pPr>
      <w:r w:rsidRPr="006D7E76">
        <w:rPr>
          <w:sz w:val="22"/>
          <w:szCs w:val="22"/>
        </w:rPr>
        <w:t xml:space="preserve">Il Comune di Parma ha attivato nel corso dell’anno 2017 la revisione degli strumenti di pianificazione territoriale, pervenendo all’adozione, con delibera di consiglio comunale n. 13/2017 del 14/02/2017, della variante generale al Piano Strutturale Comunale. </w:t>
      </w:r>
    </w:p>
    <w:p w:rsidR="00FB3310" w:rsidRPr="006D7E76" w:rsidRDefault="00FB3310" w:rsidP="00FB3310">
      <w:pPr>
        <w:pStyle w:val="Default"/>
        <w:rPr>
          <w:sz w:val="22"/>
          <w:szCs w:val="22"/>
        </w:rPr>
      </w:pPr>
      <w:r w:rsidRPr="006D7E76">
        <w:rPr>
          <w:sz w:val="22"/>
          <w:szCs w:val="22"/>
        </w:rPr>
        <w:t xml:space="preserve">L’iter finalizzato all’approvazione di tale variante risulta in fase di conclusione, avendo approvato il Comune di Parma le controdeduzioni alle osservazioni alla variante pervenute dai soggetti interessati. </w:t>
      </w:r>
    </w:p>
    <w:p w:rsidR="005B7428" w:rsidRPr="006D7E76" w:rsidRDefault="00FB3310" w:rsidP="00FB3310">
      <w:pPr>
        <w:rPr>
          <w:rFonts w:ascii="Arial" w:hAnsi="Arial" w:cs="Arial"/>
        </w:rPr>
      </w:pPr>
      <w:r w:rsidRPr="006D7E76">
        <w:rPr>
          <w:rFonts w:ascii="Arial" w:hAnsi="Arial" w:cs="Arial"/>
        </w:rPr>
        <w:t xml:space="preserve">Il CDU rilasciato dal Comune di Parma con </w:t>
      </w:r>
      <w:proofErr w:type="spellStart"/>
      <w:r w:rsidRPr="006D7E76">
        <w:rPr>
          <w:rFonts w:ascii="Arial" w:hAnsi="Arial" w:cs="Arial"/>
        </w:rPr>
        <w:t>prot</w:t>
      </w:r>
      <w:proofErr w:type="spellEnd"/>
      <w:r w:rsidRPr="006D7E76">
        <w:rPr>
          <w:rFonts w:ascii="Arial" w:hAnsi="Arial" w:cs="Arial"/>
        </w:rPr>
        <w:t>. n. 239987 del 20/11/2018, indica le previsioni urbanistiche per l’intero sito demaniale a norma del RUE vigente, come dallo stralcio sotto riportato:</w:t>
      </w:r>
    </w:p>
    <w:p w:rsidR="00FB3310" w:rsidRDefault="00FB3310" w:rsidP="00FB3310">
      <w:r>
        <w:rPr>
          <w:noProof/>
          <w:lang w:eastAsia="it-IT"/>
        </w:rPr>
        <w:drawing>
          <wp:inline distT="0" distB="0" distL="0" distR="0">
            <wp:extent cx="6120130" cy="1459967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5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F4" w:rsidRPr="006D7E76" w:rsidRDefault="00FB3310" w:rsidP="00FB3310">
      <w:pPr>
        <w:rPr>
          <w:rFonts w:ascii="Arial" w:hAnsi="Arial" w:cs="Arial"/>
        </w:rPr>
      </w:pPr>
      <w:r w:rsidRPr="006D7E76">
        <w:rPr>
          <w:rFonts w:ascii="Arial" w:hAnsi="Arial" w:cs="Arial"/>
        </w:rPr>
        <w:t>Si riporta di seguito lo stralcio della tavola del RUE e l’articolo 3.2.19 di riferimento.</w:t>
      </w:r>
    </w:p>
    <w:p w:rsidR="00E91FF4" w:rsidRPr="006D7E76" w:rsidRDefault="00E91FF4" w:rsidP="006D7E76">
      <w:pPr>
        <w:rPr>
          <w:sz w:val="23"/>
          <w:szCs w:val="23"/>
        </w:rPr>
      </w:pPr>
      <w:r w:rsidRPr="00E91FF4">
        <w:rPr>
          <w:noProof/>
          <w:sz w:val="23"/>
          <w:szCs w:val="23"/>
          <w:lang w:eastAsia="it-IT"/>
        </w:rPr>
        <w:drawing>
          <wp:inline distT="0" distB="0" distL="0" distR="0" wp14:anchorId="6C375292" wp14:editId="2167AA92">
            <wp:extent cx="6421847" cy="3327458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630"/>
                    <a:stretch/>
                  </pic:blipFill>
                  <pic:spPr bwMode="auto">
                    <a:xfrm>
                      <a:off x="0" y="0"/>
                      <a:ext cx="6448547" cy="334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1FF4">
        <w:rPr>
          <w:rFonts w:ascii="Arial" w:hAnsi="Arial" w:cs="Arial"/>
          <w:b/>
          <w:bCs/>
          <w:color w:val="000000"/>
          <w:sz w:val="16"/>
          <w:szCs w:val="16"/>
        </w:rPr>
        <w:t xml:space="preserve">RUE – TAVOLA 28-I-C </w:t>
      </w:r>
    </w:p>
    <w:p w:rsidR="006D7E76" w:rsidRP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E91FF4">
        <w:rPr>
          <w:rFonts w:ascii="Arial" w:hAnsi="Arial" w:cs="Arial"/>
          <w:b/>
          <w:bCs/>
          <w:i/>
          <w:iCs/>
          <w:color w:val="000000"/>
        </w:rPr>
        <w:t xml:space="preserve">Edifici suscettibili di valorizzazione - art. 3.2.19. </w:t>
      </w:r>
    </w:p>
    <w:p w:rsidR="00E91FF4" w:rsidRP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Art. 3.2.19 - Edifici suscettibili di valorizzazione </w:t>
      </w:r>
    </w:p>
    <w:p w:rsidR="00E91FF4" w:rsidRP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1 Gli edifici suscettibili di valorizzazione sono costituiti dai seguenti manufatti architettonicamente rilevanti: </w:t>
      </w:r>
    </w:p>
    <w:p w:rsidR="00E91FF4" w:rsidRPr="00E91FF4" w:rsidRDefault="00E91FF4" w:rsidP="006D7E76">
      <w:pPr>
        <w:autoSpaceDE w:val="0"/>
        <w:autoSpaceDN w:val="0"/>
        <w:adjustRightInd w:val="0"/>
        <w:spacing w:after="0" w:line="240" w:lineRule="auto"/>
        <w:ind w:firstLine="284"/>
        <w:rPr>
          <w:rFonts w:ascii="Arial" w:hAnsi="Arial" w:cs="Arial"/>
          <w:i/>
          <w:iCs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a) chiese, originariamente destinate a funzioni di culto, conventi; </w:t>
      </w:r>
    </w:p>
    <w:p w:rsidR="00E91FF4" w:rsidRPr="00E91FF4" w:rsidRDefault="00E91FF4" w:rsidP="006D7E76">
      <w:pPr>
        <w:autoSpaceDE w:val="0"/>
        <w:autoSpaceDN w:val="0"/>
        <w:adjustRightInd w:val="0"/>
        <w:spacing w:after="53" w:line="240" w:lineRule="auto"/>
        <w:ind w:firstLine="284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b) palazzi nobiliari, originariamente destinati a funzioni abitative; </w:t>
      </w:r>
    </w:p>
    <w:p w:rsidR="00E91FF4" w:rsidRPr="00E91FF4" w:rsidRDefault="00E91FF4" w:rsidP="006D7E76">
      <w:pPr>
        <w:autoSpaceDE w:val="0"/>
        <w:autoSpaceDN w:val="0"/>
        <w:adjustRightInd w:val="0"/>
        <w:spacing w:after="0" w:line="240" w:lineRule="auto"/>
        <w:ind w:firstLine="284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c) strutture specialistiche ospedaliere, originariamente destinate a funzioni sanitarie. </w:t>
      </w:r>
    </w:p>
    <w:p w:rsidR="00E91FF4" w:rsidRP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2 Gli edifici di cui in epigrafe, nel rispetto dei caratteri tipologici e delle categorie d’intervento ad essi assegnati dalle tavole di RUE e dei commi 3, 4, 5, 6, possono essere destinati al </w:t>
      </w:r>
      <w:r w:rsidRPr="00E91FF4">
        <w:rPr>
          <w:rFonts w:ascii="Arial" w:hAnsi="Arial" w:cs="Arial"/>
          <w:i/>
          <w:iCs/>
          <w:color w:val="000000"/>
        </w:rPr>
        <w:lastRenderedPageBreak/>
        <w:t xml:space="preserve">mantenimento degli usi in atto o all’insediamento, anche congiunto, dei seguenti usi, di cui al Titolo 2, Capo 3 “Usi del suolo e standard”: </w:t>
      </w:r>
    </w:p>
    <w:p w:rsidR="00E91FF4" w:rsidRP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 w:rsidRPr="00E91FF4">
        <w:rPr>
          <w:rFonts w:ascii="Arial" w:hAnsi="Arial" w:cs="Arial"/>
          <w:i/>
          <w:iCs/>
          <w:color w:val="000000"/>
        </w:rPr>
        <w:t>a)Ud</w:t>
      </w:r>
      <w:proofErr w:type="gramEnd"/>
      <w:r w:rsidRPr="00E91FF4">
        <w:rPr>
          <w:rFonts w:ascii="Arial" w:hAnsi="Arial" w:cs="Arial"/>
          <w:i/>
          <w:iCs/>
          <w:color w:val="000000"/>
        </w:rPr>
        <w:t xml:space="preserve"> (Usi per attività direzionali e pubblica amministrazione).Non è consentito l’insediamento di: </w:t>
      </w:r>
    </w:p>
    <w:p w:rsidR="006D7E76" w:rsidRDefault="00E91FF4" w:rsidP="006D7E76">
      <w:pPr>
        <w:autoSpaceDE w:val="0"/>
        <w:autoSpaceDN w:val="0"/>
        <w:adjustRightInd w:val="0"/>
        <w:spacing w:after="0" w:line="240" w:lineRule="auto"/>
        <w:ind w:firstLine="426"/>
        <w:rPr>
          <w:rFonts w:ascii="Arial" w:hAnsi="Arial" w:cs="Arial"/>
          <w:i/>
          <w:iCs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a1) “intermediazione monetaria e finanziaria” </w:t>
      </w:r>
      <w:proofErr w:type="gramStart"/>
      <w:r w:rsidRPr="00E91FF4">
        <w:rPr>
          <w:rFonts w:ascii="Arial" w:hAnsi="Arial" w:cs="Arial"/>
          <w:i/>
          <w:iCs/>
          <w:color w:val="000000"/>
        </w:rPr>
        <w:t>e “</w:t>
      </w:r>
      <w:proofErr w:type="gramEnd"/>
      <w:r w:rsidRPr="00E91FF4">
        <w:rPr>
          <w:rFonts w:ascii="Arial" w:hAnsi="Arial" w:cs="Arial"/>
          <w:i/>
          <w:iCs/>
          <w:color w:val="000000"/>
        </w:rPr>
        <w:t xml:space="preserve">compagnie di </w:t>
      </w:r>
      <w:r w:rsidR="006D7E76">
        <w:rPr>
          <w:rFonts w:ascii="Arial" w:hAnsi="Arial" w:cs="Arial"/>
          <w:i/>
          <w:iCs/>
          <w:color w:val="000000"/>
        </w:rPr>
        <w:t>assicurazione”, di cui agli usi</w:t>
      </w:r>
    </w:p>
    <w:p w:rsidR="006D7E76" w:rsidRDefault="00E91FF4" w:rsidP="006D7E76">
      <w:pPr>
        <w:autoSpaceDE w:val="0"/>
        <w:autoSpaceDN w:val="0"/>
        <w:adjustRightInd w:val="0"/>
        <w:spacing w:after="0" w:line="240" w:lineRule="auto"/>
        <w:ind w:firstLine="426"/>
        <w:rPr>
          <w:rFonts w:ascii="Arial" w:hAnsi="Arial" w:cs="Arial"/>
          <w:i/>
          <w:iCs/>
          <w:color w:val="000000"/>
        </w:rPr>
      </w:pPr>
      <w:proofErr w:type="spellStart"/>
      <w:r w:rsidRPr="00E91FF4">
        <w:rPr>
          <w:rFonts w:ascii="Arial" w:hAnsi="Arial" w:cs="Arial"/>
          <w:i/>
          <w:iCs/>
          <w:color w:val="000000"/>
        </w:rPr>
        <w:t>Udb</w:t>
      </w:r>
      <w:proofErr w:type="spellEnd"/>
      <w:r w:rsidRPr="00E91FF4">
        <w:rPr>
          <w:rFonts w:ascii="Arial" w:hAnsi="Arial" w:cs="Arial"/>
          <w:i/>
          <w:iCs/>
          <w:color w:val="000000"/>
        </w:rPr>
        <w:t>, al piano terra degli edifici prospicienti la pubblica via,</w:t>
      </w:r>
      <w:r w:rsidR="006D7E76">
        <w:rPr>
          <w:rFonts w:ascii="Arial" w:hAnsi="Arial" w:cs="Arial"/>
          <w:i/>
          <w:iCs/>
          <w:color w:val="000000"/>
        </w:rPr>
        <w:t xml:space="preserve"> ad esclusione dell’ampliamento</w:t>
      </w:r>
    </w:p>
    <w:p w:rsidR="00E91FF4" w:rsidRPr="00E91FF4" w:rsidRDefault="00E91FF4" w:rsidP="006D7E76">
      <w:pPr>
        <w:autoSpaceDE w:val="0"/>
        <w:autoSpaceDN w:val="0"/>
        <w:adjustRightInd w:val="0"/>
        <w:spacing w:after="0" w:line="240" w:lineRule="auto"/>
        <w:ind w:firstLine="426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delle attività esistenti; </w:t>
      </w:r>
    </w:p>
    <w:p w:rsidR="00E91FF4" w:rsidRPr="00E91FF4" w:rsidRDefault="00E91FF4" w:rsidP="006D7E76">
      <w:pPr>
        <w:autoSpaceDE w:val="0"/>
        <w:autoSpaceDN w:val="0"/>
        <w:adjustRightInd w:val="0"/>
        <w:spacing w:after="0" w:line="240" w:lineRule="auto"/>
        <w:ind w:firstLine="426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a2) </w:t>
      </w:r>
      <w:proofErr w:type="spellStart"/>
      <w:r w:rsidRPr="00E91FF4">
        <w:rPr>
          <w:rFonts w:ascii="Arial" w:hAnsi="Arial" w:cs="Arial"/>
          <w:i/>
          <w:iCs/>
          <w:color w:val="000000"/>
        </w:rPr>
        <w:t>phone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center. </w:t>
      </w:r>
    </w:p>
    <w:p w:rsidR="00E91FF4" w:rsidRP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b) </w:t>
      </w:r>
      <w:proofErr w:type="spellStart"/>
      <w:r w:rsidRPr="00E91FF4">
        <w:rPr>
          <w:rFonts w:ascii="Arial" w:hAnsi="Arial" w:cs="Arial"/>
          <w:i/>
          <w:iCs/>
          <w:color w:val="000000"/>
        </w:rPr>
        <w:t>Uf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(residenza); </w:t>
      </w:r>
    </w:p>
    <w:p w:rsidR="00E91FF4" w:rsidRP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c) </w:t>
      </w:r>
      <w:proofErr w:type="spellStart"/>
      <w:r w:rsidRPr="00E91FF4">
        <w:rPr>
          <w:rFonts w:ascii="Arial" w:hAnsi="Arial" w:cs="Arial"/>
          <w:i/>
          <w:iCs/>
          <w:color w:val="000000"/>
        </w:rPr>
        <w:t>Uga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(esercizi commerciali), </w:t>
      </w:r>
      <w:proofErr w:type="spellStart"/>
      <w:r w:rsidRPr="00E91FF4">
        <w:rPr>
          <w:rFonts w:ascii="Arial" w:hAnsi="Arial" w:cs="Arial"/>
          <w:i/>
          <w:iCs/>
          <w:color w:val="000000"/>
        </w:rPr>
        <w:t>Ugb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(esercizi per la ristorazione), </w:t>
      </w:r>
      <w:proofErr w:type="spellStart"/>
      <w:r w:rsidRPr="00E91FF4">
        <w:rPr>
          <w:rFonts w:ascii="Arial" w:hAnsi="Arial" w:cs="Arial"/>
          <w:i/>
          <w:iCs/>
          <w:color w:val="000000"/>
        </w:rPr>
        <w:t>Ugc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(attività professionali, servizi sanitari svolti professionalmente, piccola imprenditoria), </w:t>
      </w:r>
      <w:proofErr w:type="spellStart"/>
      <w:r w:rsidRPr="00E91FF4">
        <w:rPr>
          <w:rFonts w:ascii="Arial" w:hAnsi="Arial" w:cs="Arial"/>
          <w:i/>
          <w:iCs/>
          <w:color w:val="000000"/>
        </w:rPr>
        <w:t>Ugd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(terziario al servizio della persona, della famiglia e delle attività professionali). Non è consentito l’insediamento di: </w:t>
      </w:r>
    </w:p>
    <w:p w:rsidR="006D7E76" w:rsidRDefault="00E91FF4" w:rsidP="006D7E76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i/>
          <w:iCs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c1) “agenzie bancarie” </w:t>
      </w:r>
      <w:proofErr w:type="gramStart"/>
      <w:r w:rsidRPr="00E91FF4">
        <w:rPr>
          <w:rFonts w:ascii="Arial" w:hAnsi="Arial" w:cs="Arial"/>
          <w:i/>
          <w:iCs/>
          <w:color w:val="000000"/>
        </w:rPr>
        <w:t>e “</w:t>
      </w:r>
      <w:proofErr w:type="gramEnd"/>
      <w:r w:rsidRPr="00E91FF4">
        <w:rPr>
          <w:rFonts w:ascii="Arial" w:hAnsi="Arial" w:cs="Arial"/>
          <w:i/>
          <w:iCs/>
          <w:color w:val="000000"/>
        </w:rPr>
        <w:t>agenzie assicurative” al piano terr</w:t>
      </w:r>
      <w:r w:rsidR="006D7E76">
        <w:rPr>
          <w:rFonts w:ascii="Arial" w:hAnsi="Arial" w:cs="Arial"/>
          <w:i/>
          <w:iCs/>
          <w:color w:val="000000"/>
        </w:rPr>
        <w:t>a degli edifici prospicienti la</w:t>
      </w:r>
    </w:p>
    <w:p w:rsidR="00E91FF4" w:rsidRPr="00E91FF4" w:rsidRDefault="00E91FF4" w:rsidP="006D7E76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pubblica via; </w:t>
      </w:r>
    </w:p>
    <w:p w:rsidR="00E91FF4" w:rsidRPr="00E91FF4" w:rsidRDefault="00E91FF4" w:rsidP="006D7E76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c2) </w:t>
      </w:r>
      <w:proofErr w:type="spellStart"/>
      <w:r w:rsidRPr="00E91FF4">
        <w:rPr>
          <w:rFonts w:ascii="Arial" w:hAnsi="Arial" w:cs="Arial"/>
          <w:i/>
          <w:iCs/>
          <w:color w:val="000000"/>
        </w:rPr>
        <w:t>phone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center; </w:t>
      </w:r>
    </w:p>
    <w:p w:rsidR="00E91FF4" w:rsidRPr="00E91FF4" w:rsidRDefault="00E91FF4" w:rsidP="006D7E76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c3) sale da gioco. </w:t>
      </w:r>
    </w:p>
    <w:p w:rsidR="00E91FF4" w:rsidRP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d) Uh (ricettività), con esclusione degli usi “motel” </w:t>
      </w:r>
      <w:proofErr w:type="gramStart"/>
      <w:r w:rsidRPr="00E91FF4">
        <w:rPr>
          <w:rFonts w:ascii="Arial" w:hAnsi="Arial" w:cs="Arial"/>
          <w:i/>
          <w:iCs/>
          <w:color w:val="000000"/>
        </w:rPr>
        <w:t>e “</w:t>
      </w:r>
      <w:proofErr w:type="gramEnd"/>
      <w:r w:rsidRPr="00E91FF4">
        <w:rPr>
          <w:rFonts w:ascii="Arial" w:hAnsi="Arial" w:cs="Arial"/>
          <w:i/>
          <w:iCs/>
          <w:color w:val="000000"/>
        </w:rPr>
        <w:t xml:space="preserve">campeggi”; </w:t>
      </w:r>
    </w:p>
    <w:p w:rsidR="00E91FF4" w:rsidRP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e) </w:t>
      </w:r>
      <w:proofErr w:type="spellStart"/>
      <w:r w:rsidRPr="00E91FF4">
        <w:rPr>
          <w:rFonts w:ascii="Arial" w:hAnsi="Arial" w:cs="Arial"/>
          <w:i/>
          <w:iCs/>
          <w:color w:val="000000"/>
        </w:rPr>
        <w:t>Ui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(usi per altri servizi sociali), con esclusione degli usi “scuola dell’obbligo”, </w:t>
      </w:r>
      <w:proofErr w:type="spellStart"/>
      <w:r w:rsidRPr="00E91FF4">
        <w:rPr>
          <w:rFonts w:ascii="Arial" w:hAnsi="Arial" w:cs="Arial"/>
          <w:i/>
          <w:iCs/>
          <w:color w:val="000000"/>
        </w:rPr>
        <w:t>Uif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(spazi pubblici attrezzati), </w:t>
      </w:r>
      <w:proofErr w:type="spellStart"/>
      <w:r w:rsidRPr="00E91FF4">
        <w:rPr>
          <w:rFonts w:ascii="Arial" w:hAnsi="Arial" w:cs="Arial"/>
          <w:i/>
          <w:iCs/>
          <w:color w:val="000000"/>
        </w:rPr>
        <w:t>Uig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(aree di sosta per le popolazioni nomadi) e </w:t>
      </w:r>
      <w:proofErr w:type="spellStart"/>
      <w:r w:rsidRPr="00E91FF4">
        <w:rPr>
          <w:rFonts w:ascii="Arial" w:hAnsi="Arial" w:cs="Arial"/>
          <w:i/>
          <w:iCs/>
          <w:color w:val="000000"/>
        </w:rPr>
        <w:t>phone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center; </w:t>
      </w:r>
    </w:p>
    <w:p w:rsid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 w:rsidRPr="00E91FF4">
        <w:rPr>
          <w:rFonts w:ascii="Arial" w:hAnsi="Arial" w:cs="Arial"/>
          <w:i/>
          <w:iCs/>
          <w:color w:val="000000"/>
        </w:rPr>
        <w:t xml:space="preserve">f) </w:t>
      </w:r>
      <w:proofErr w:type="spellStart"/>
      <w:r w:rsidRPr="00E91FF4">
        <w:rPr>
          <w:rFonts w:ascii="Arial" w:hAnsi="Arial" w:cs="Arial"/>
          <w:i/>
          <w:iCs/>
          <w:color w:val="000000"/>
        </w:rPr>
        <w:t>Uo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(usi per attività culturali e spettacolo), con esclusione degli usi </w:t>
      </w:r>
      <w:proofErr w:type="spellStart"/>
      <w:r w:rsidRPr="00E91FF4">
        <w:rPr>
          <w:rFonts w:ascii="Arial" w:hAnsi="Arial" w:cs="Arial"/>
          <w:i/>
          <w:iCs/>
          <w:color w:val="000000"/>
        </w:rPr>
        <w:t>Uoc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(aree attrezzate per lo svago) e delle sale da gioco; </w:t>
      </w:r>
    </w:p>
    <w:p w:rsidR="006D7E76" w:rsidRPr="00E91FF4" w:rsidRDefault="006D7E76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 w:rsidRPr="00E91FF4">
        <w:rPr>
          <w:rFonts w:ascii="Arial" w:hAnsi="Arial" w:cs="Arial"/>
          <w:b/>
          <w:bCs/>
          <w:i/>
          <w:iCs/>
          <w:color w:val="000000"/>
        </w:rPr>
        <w:t xml:space="preserve">3 </w:t>
      </w:r>
      <w:r w:rsidRPr="00E91FF4">
        <w:rPr>
          <w:rFonts w:ascii="Arial" w:hAnsi="Arial" w:cs="Arial"/>
          <w:i/>
          <w:iCs/>
          <w:color w:val="000000"/>
        </w:rPr>
        <w:t xml:space="preserve">Sono ammessi gli usi </w:t>
      </w:r>
      <w:proofErr w:type="spellStart"/>
      <w:r w:rsidRPr="00E91FF4">
        <w:rPr>
          <w:rFonts w:ascii="Arial" w:hAnsi="Arial" w:cs="Arial"/>
          <w:i/>
          <w:iCs/>
          <w:color w:val="000000"/>
        </w:rPr>
        <w:t>Uge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(artigianato di tipo laboratoriale al servizio della persona, della famiglia e delle attività professionali), a condizione che siano collocati al piano terra degli edifici. </w:t>
      </w:r>
    </w:p>
    <w:p w:rsidR="006D7E76" w:rsidRPr="00E91FF4" w:rsidRDefault="006D7E76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 w:rsidRPr="00E91FF4">
        <w:rPr>
          <w:rFonts w:ascii="Arial" w:hAnsi="Arial" w:cs="Arial"/>
          <w:b/>
          <w:bCs/>
          <w:i/>
          <w:iCs/>
          <w:color w:val="000000"/>
        </w:rPr>
        <w:t xml:space="preserve">4. </w:t>
      </w:r>
      <w:r w:rsidRPr="00E91FF4">
        <w:rPr>
          <w:rFonts w:ascii="Arial" w:hAnsi="Arial" w:cs="Arial"/>
          <w:i/>
          <w:iCs/>
          <w:color w:val="000000"/>
        </w:rPr>
        <w:t xml:space="preserve">Le chiese classificate quali edifici suscettibili di valorizzazione possono essere destinate agli usi “teatri”, “centri congressi”, </w:t>
      </w:r>
      <w:proofErr w:type="spellStart"/>
      <w:r w:rsidRPr="00E91FF4">
        <w:rPr>
          <w:rFonts w:ascii="Arial" w:hAnsi="Arial" w:cs="Arial"/>
          <w:i/>
          <w:iCs/>
          <w:color w:val="000000"/>
        </w:rPr>
        <w:t>Uob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(strutture per la conservazione dei beni artistici e culturali), e al ripristino degli usi </w:t>
      </w:r>
      <w:proofErr w:type="spellStart"/>
      <w:r w:rsidRPr="00E91FF4">
        <w:rPr>
          <w:rFonts w:ascii="Arial" w:hAnsi="Arial" w:cs="Arial"/>
          <w:i/>
          <w:iCs/>
          <w:color w:val="000000"/>
        </w:rPr>
        <w:t>Uie</w:t>
      </w:r>
      <w:proofErr w:type="spellEnd"/>
      <w:r w:rsidRPr="00E91FF4">
        <w:rPr>
          <w:rFonts w:ascii="Arial" w:hAnsi="Arial" w:cs="Arial"/>
          <w:i/>
          <w:iCs/>
          <w:color w:val="000000"/>
        </w:rPr>
        <w:t xml:space="preserve"> (edifici e attrezzature per il culto). </w:t>
      </w:r>
    </w:p>
    <w:p w:rsidR="006D7E76" w:rsidRPr="00E91FF4" w:rsidRDefault="006D7E76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 w:rsidRPr="00E91FF4">
        <w:rPr>
          <w:rFonts w:ascii="Arial" w:hAnsi="Arial" w:cs="Arial"/>
          <w:b/>
          <w:bCs/>
          <w:i/>
          <w:iCs/>
          <w:color w:val="000000"/>
        </w:rPr>
        <w:t xml:space="preserve">5. </w:t>
      </w:r>
      <w:r w:rsidRPr="00E91FF4">
        <w:rPr>
          <w:rFonts w:ascii="Arial" w:hAnsi="Arial" w:cs="Arial"/>
          <w:i/>
          <w:iCs/>
          <w:color w:val="000000"/>
        </w:rPr>
        <w:t xml:space="preserve">Nel caso gli edifici siano di proprietà pubblica e si configurino come servizi pubblici di livello locale, ovvero di livello comprensoriale, è possibile l’insediamento delle funzioni aggiuntive previste ai commi 2, 3, 4, solo a seguito della stipulazione di accordi tra gli enti e soggetti interessati che definiscano la dismissione delle funzioni pubbliche e il loro trasferimento. </w:t>
      </w:r>
    </w:p>
    <w:p w:rsidR="006D7E76" w:rsidRPr="00E91FF4" w:rsidRDefault="006D7E76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 w:rsidRPr="00E91FF4">
        <w:rPr>
          <w:rFonts w:ascii="Arial" w:hAnsi="Arial" w:cs="Arial"/>
          <w:b/>
          <w:bCs/>
          <w:i/>
          <w:iCs/>
          <w:color w:val="000000"/>
        </w:rPr>
        <w:t xml:space="preserve">6 </w:t>
      </w:r>
      <w:r w:rsidRPr="00E91FF4">
        <w:rPr>
          <w:rFonts w:ascii="Arial" w:hAnsi="Arial" w:cs="Arial"/>
          <w:i/>
          <w:iCs/>
          <w:color w:val="000000"/>
        </w:rPr>
        <w:t>Le modalità d’intervento riguardanti gli edifici di cui in epigrafe, attualmente sede di attrezzature di cui all’art. A-24 “Attrezzature e spazi collettivi” dell’Allegato “Contenuti della pianificazione” della L.R. 24 marzo 2000, n. 20, “Disciplina generale sulla tutela e l’uso del territorio</w:t>
      </w:r>
      <w:proofErr w:type="gramStart"/>
      <w:r w:rsidRPr="00E91FF4">
        <w:rPr>
          <w:rFonts w:ascii="Arial" w:hAnsi="Arial" w:cs="Arial"/>
          <w:i/>
          <w:iCs/>
          <w:color w:val="000000"/>
        </w:rPr>
        <w:t>” ,</w:t>
      </w:r>
      <w:proofErr w:type="gramEnd"/>
      <w:r w:rsidRPr="00E91FF4">
        <w:rPr>
          <w:rFonts w:ascii="Arial" w:hAnsi="Arial" w:cs="Arial"/>
          <w:i/>
          <w:iCs/>
          <w:color w:val="000000"/>
        </w:rPr>
        <w:t xml:space="preserve"> sono disciplinate dal Titolo 3 Capo II, Sezione 6 – Servizi pubblici delle Norme Tecniche di Attuazione del RUE. È vietata la realizzazione di volumetrie eccedenti quelle esistenti e sono confermate le categorie d’intervento indicate nella cartografia di RUE. </w:t>
      </w:r>
    </w:p>
    <w:p w:rsidR="006D7E76" w:rsidRPr="00E91FF4" w:rsidRDefault="006D7E76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91FF4" w:rsidRPr="006D7E76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 w:rsidRPr="006D7E76">
        <w:rPr>
          <w:rFonts w:ascii="Arial" w:hAnsi="Arial" w:cs="Arial"/>
          <w:b/>
          <w:bCs/>
          <w:i/>
          <w:iCs/>
          <w:color w:val="000000"/>
        </w:rPr>
        <w:t xml:space="preserve">7 </w:t>
      </w:r>
      <w:r w:rsidRPr="006D7E76">
        <w:rPr>
          <w:rFonts w:ascii="Arial" w:hAnsi="Arial" w:cs="Arial"/>
          <w:i/>
          <w:iCs/>
          <w:color w:val="000000"/>
        </w:rPr>
        <w:t xml:space="preserve">Negli edifici suscettibili di valorizzazione l’insediamento degli usi </w:t>
      </w:r>
      <w:proofErr w:type="spellStart"/>
      <w:r w:rsidRPr="006D7E76">
        <w:rPr>
          <w:rFonts w:ascii="Arial" w:hAnsi="Arial" w:cs="Arial"/>
          <w:i/>
          <w:iCs/>
          <w:color w:val="000000"/>
        </w:rPr>
        <w:t>Uea</w:t>
      </w:r>
      <w:proofErr w:type="spellEnd"/>
      <w:r w:rsidRPr="006D7E76">
        <w:rPr>
          <w:rFonts w:ascii="Arial" w:hAnsi="Arial" w:cs="Arial"/>
          <w:i/>
          <w:iCs/>
          <w:color w:val="000000"/>
        </w:rPr>
        <w:t xml:space="preserve"> (esercizi alimentari medio-piccoli con </w:t>
      </w:r>
      <w:proofErr w:type="spellStart"/>
      <w:r w:rsidRPr="006D7E76">
        <w:rPr>
          <w:rFonts w:ascii="Arial" w:hAnsi="Arial" w:cs="Arial"/>
          <w:i/>
          <w:iCs/>
          <w:color w:val="000000"/>
        </w:rPr>
        <w:t>S.v</w:t>
      </w:r>
      <w:proofErr w:type="spellEnd"/>
      <w:r w:rsidRPr="006D7E76">
        <w:rPr>
          <w:rFonts w:ascii="Arial" w:hAnsi="Arial" w:cs="Arial"/>
          <w:i/>
          <w:iCs/>
          <w:color w:val="000000"/>
        </w:rPr>
        <w:t xml:space="preserve">. compresa fra 250 e 400 mq, esercizi non alimentari medio-piccoli con </w:t>
      </w:r>
      <w:proofErr w:type="spellStart"/>
      <w:r w:rsidRPr="006D7E76">
        <w:rPr>
          <w:rFonts w:ascii="Arial" w:hAnsi="Arial" w:cs="Arial"/>
          <w:i/>
          <w:iCs/>
          <w:color w:val="000000"/>
        </w:rPr>
        <w:t>Sv</w:t>
      </w:r>
      <w:proofErr w:type="spellEnd"/>
      <w:r w:rsidRPr="006D7E76">
        <w:rPr>
          <w:rFonts w:ascii="Arial" w:hAnsi="Arial" w:cs="Arial"/>
          <w:i/>
          <w:iCs/>
          <w:color w:val="000000"/>
        </w:rPr>
        <w:t xml:space="preserve"> compresa fra 250 e 400 mq, esercizi alimentari medio-piccoli con </w:t>
      </w:r>
      <w:proofErr w:type="spellStart"/>
      <w:r w:rsidRPr="006D7E76">
        <w:rPr>
          <w:rFonts w:ascii="Arial" w:hAnsi="Arial" w:cs="Arial"/>
          <w:i/>
          <w:iCs/>
          <w:color w:val="000000"/>
        </w:rPr>
        <w:t>Sv</w:t>
      </w:r>
      <w:proofErr w:type="spellEnd"/>
      <w:r w:rsidRPr="006D7E76">
        <w:rPr>
          <w:rFonts w:ascii="Arial" w:hAnsi="Arial" w:cs="Arial"/>
          <w:i/>
          <w:iCs/>
          <w:color w:val="000000"/>
        </w:rPr>
        <w:t xml:space="preserve"> compresa fra 400 e 800 mq, esercizi non alimentari medio-piccoli, con </w:t>
      </w:r>
      <w:proofErr w:type="spellStart"/>
      <w:r w:rsidRPr="006D7E76">
        <w:rPr>
          <w:rFonts w:ascii="Arial" w:hAnsi="Arial" w:cs="Arial"/>
          <w:i/>
          <w:iCs/>
          <w:color w:val="000000"/>
        </w:rPr>
        <w:t>Sv</w:t>
      </w:r>
      <w:proofErr w:type="spellEnd"/>
      <w:r w:rsidRPr="006D7E76">
        <w:rPr>
          <w:rFonts w:ascii="Arial" w:hAnsi="Arial" w:cs="Arial"/>
          <w:i/>
          <w:iCs/>
          <w:color w:val="000000"/>
        </w:rPr>
        <w:t xml:space="preserve"> compresa fra 400 e 800 mq, esercizi alimentari medio-piccoli, con </w:t>
      </w:r>
      <w:proofErr w:type="spellStart"/>
      <w:r w:rsidRPr="006D7E76">
        <w:rPr>
          <w:rFonts w:ascii="Arial" w:hAnsi="Arial" w:cs="Arial"/>
          <w:i/>
          <w:iCs/>
          <w:color w:val="000000"/>
        </w:rPr>
        <w:t>Sv</w:t>
      </w:r>
      <w:proofErr w:type="spellEnd"/>
      <w:r w:rsidRPr="006D7E76">
        <w:rPr>
          <w:rFonts w:ascii="Arial" w:hAnsi="Arial" w:cs="Arial"/>
          <w:i/>
          <w:iCs/>
          <w:color w:val="000000"/>
        </w:rPr>
        <w:t xml:space="preserve"> compresa fra 800 e 1.500 mq, esercizi non alimentari medio-piccoli, con </w:t>
      </w:r>
      <w:proofErr w:type="spellStart"/>
      <w:r w:rsidRPr="006D7E76">
        <w:rPr>
          <w:rFonts w:ascii="Arial" w:hAnsi="Arial" w:cs="Arial"/>
          <w:i/>
          <w:iCs/>
          <w:color w:val="000000"/>
        </w:rPr>
        <w:t>Sv</w:t>
      </w:r>
      <w:proofErr w:type="spellEnd"/>
      <w:r w:rsidRPr="006D7E76">
        <w:rPr>
          <w:rFonts w:ascii="Arial" w:hAnsi="Arial" w:cs="Arial"/>
          <w:i/>
          <w:iCs/>
          <w:color w:val="000000"/>
        </w:rPr>
        <w:t xml:space="preserve"> compresa fra 800 e 1.500 mq, strutture di vendita medio-grandi alimentari, con </w:t>
      </w:r>
      <w:proofErr w:type="spellStart"/>
      <w:r w:rsidRPr="006D7E76">
        <w:rPr>
          <w:rFonts w:ascii="Arial" w:hAnsi="Arial" w:cs="Arial"/>
          <w:i/>
          <w:iCs/>
          <w:color w:val="000000"/>
        </w:rPr>
        <w:t>Sv</w:t>
      </w:r>
      <w:proofErr w:type="spellEnd"/>
      <w:r w:rsidRPr="006D7E76">
        <w:rPr>
          <w:rFonts w:ascii="Arial" w:hAnsi="Arial" w:cs="Arial"/>
          <w:i/>
          <w:iCs/>
          <w:color w:val="000000"/>
        </w:rPr>
        <w:t xml:space="preserve"> fino a 2.500 mq, strutture di </w:t>
      </w:r>
    </w:p>
    <w:p w:rsidR="00E91FF4" w:rsidRDefault="00E91FF4" w:rsidP="00E91FF4">
      <w:pPr>
        <w:pStyle w:val="Default"/>
        <w:rPr>
          <w:i/>
          <w:iCs/>
          <w:sz w:val="22"/>
          <w:szCs w:val="22"/>
        </w:rPr>
      </w:pPr>
      <w:r w:rsidRPr="006D7E76">
        <w:rPr>
          <w:i/>
          <w:iCs/>
          <w:sz w:val="22"/>
          <w:szCs w:val="22"/>
        </w:rPr>
        <w:t xml:space="preserve">vendita medio-grandi non alimentari, con </w:t>
      </w:r>
      <w:proofErr w:type="spellStart"/>
      <w:r w:rsidRPr="006D7E76">
        <w:rPr>
          <w:i/>
          <w:iCs/>
          <w:sz w:val="22"/>
          <w:szCs w:val="22"/>
        </w:rPr>
        <w:t>Sv</w:t>
      </w:r>
      <w:proofErr w:type="spellEnd"/>
      <w:r w:rsidRPr="006D7E76">
        <w:rPr>
          <w:i/>
          <w:iCs/>
          <w:sz w:val="22"/>
          <w:szCs w:val="22"/>
        </w:rPr>
        <w:t xml:space="preserve"> fino a 2.500 mq, centri commerciali di vicinato con </w:t>
      </w:r>
      <w:proofErr w:type="spellStart"/>
      <w:r w:rsidRPr="006D7E76">
        <w:rPr>
          <w:i/>
          <w:iCs/>
          <w:sz w:val="22"/>
          <w:szCs w:val="22"/>
        </w:rPr>
        <w:t>Sv</w:t>
      </w:r>
      <w:proofErr w:type="spellEnd"/>
      <w:r w:rsidRPr="006D7E76">
        <w:rPr>
          <w:i/>
          <w:iCs/>
          <w:sz w:val="22"/>
          <w:szCs w:val="22"/>
        </w:rPr>
        <w:t xml:space="preserve"> fino a 2.500 mq), può avvenire nell’ambito dell’attuazione di progetti di valorizzazione commerciale di aree urbane, ai sensi dei commi 2, 3 e 4 dell’Art. 3.2.15 e nel rispetto dei disposti del POICP (Piano Operativo per gli Insediamenti Commerciali di interesse Provinciale e sovracomunale) e della delibera C.R. 1253/1999 e successive modifiche e integrazioni. </w:t>
      </w:r>
    </w:p>
    <w:p w:rsidR="006D7E76" w:rsidRPr="006D7E76" w:rsidRDefault="006D7E76" w:rsidP="00E91FF4">
      <w:pPr>
        <w:pStyle w:val="Default"/>
        <w:rPr>
          <w:sz w:val="22"/>
          <w:szCs w:val="22"/>
        </w:rPr>
      </w:pPr>
    </w:p>
    <w:p w:rsidR="00E91FF4" w:rsidRDefault="00E91FF4" w:rsidP="00E91FF4">
      <w:pPr>
        <w:pStyle w:val="Default"/>
        <w:rPr>
          <w:i/>
          <w:iCs/>
          <w:sz w:val="22"/>
          <w:szCs w:val="22"/>
        </w:rPr>
      </w:pPr>
      <w:r w:rsidRPr="006D7E76">
        <w:rPr>
          <w:b/>
          <w:bCs/>
          <w:i/>
          <w:iCs/>
          <w:sz w:val="22"/>
          <w:szCs w:val="22"/>
        </w:rPr>
        <w:t xml:space="preserve">8 </w:t>
      </w:r>
      <w:r w:rsidRPr="006D7E76">
        <w:rPr>
          <w:i/>
          <w:iCs/>
          <w:sz w:val="22"/>
          <w:szCs w:val="22"/>
        </w:rPr>
        <w:t xml:space="preserve">L’insediamento degli usi ammessi è subordinato al rispetto delle disposizioni di cui all’art. 32 del PTCP. </w:t>
      </w:r>
    </w:p>
    <w:p w:rsidR="006D7E76" w:rsidRPr="006D7E76" w:rsidRDefault="006D7E76" w:rsidP="00E91FF4">
      <w:pPr>
        <w:pStyle w:val="Default"/>
        <w:rPr>
          <w:sz w:val="22"/>
          <w:szCs w:val="22"/>
        </w:rPr>
      </w:pPr>
    </w:p>
    <w:p w:rsidR="00E91FF4" w:rsidRPr="006D7E76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D7E76">
        <w:rPr>
          <w:rFonts w:ascii="Arial" w:hAnsi="Arial" w:cs="Arial"/>
        </w:rPr>
        <w:lastRenderedPageBreak/>
        <w:t>La tavola</w:t>
      </w:r>
      <w:r w:rsidR="006D7E76">
        <w:rPr>
          <w:rFonts w:ascii="Arial" w:hAnsi="Arial" w:cs="Arial"/>
        </w:rPr>
        <w:t>*</w:t>
      </w:r>
      <w:r w:rsidRPr="006D7E76">
        <w:rPr>
          <w:rFonts w:ascii="Arial" w:hAnsi="Arial" w:cs="Arial"/>
        </w:rPr>
        <w:t xml:space="preserve"> del PRG previgente riporta l’intero sito demaniale quale “Attrezzature urbane e comprensoriali”</w:t>
      </w:r>
    </w:p>
    <w:p w:rsidR="00E91FF4" w:rsidRDefault="00E91FF4" w:rsidP="00E91FF4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E91FF4" w:rsidRPr="00E91FF4" w:rsidRDefault="00E91FF4" w:rsidP="00E9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91FF4">
        <w:rPr>
          <w:rFonts w:ascii="Arial" w:hAnsi="Arial" w:cs="Arial"/>
          <w:noProof/>
          <w:color w:val="000000"/>
          <w:lang w:eastAsia="it-IT"/>
        </w:rPr>
        <w:drawing>
          <wp:inline distT="0" distB="0" distL="0" distR="0" wp14:anchorId="1BDA6E2F" wp14:editId="4249A898">
            <wp:extent cx="6120130" cy="3255232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E76" w:rsidRDefault="006D7E76" w:rsidP="006D7E76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______________________</w:t>
      </w:r>
    </w:p>
    <w:p w:rsidR="006D7E76" w:rsidRPr="006D7E76" w:rsidRDefault="006D7E76" w:rsidP="006D7E76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* </w:t>
      </w:r>
      <w:r w:rsidRPr="006D7E76">
        <w:rPr>
          <w:rFonts w:ascii="Arial" w:hAnsi="Arial" w:cs="Arial"/>
          <w:iCs/>
          <w:sz w:val="16"/>
          <w:szCs w:val="16"/>
        </w:rPr>
        <w:t>Variante generale alla disciplina particolareggiata per gli interventi del centro storico - Adozione con atto di C.C. n ° 2 0 del 13/02/2006 - Approvazione con atto d</w:t>
      </w:r>
      <w:r>
        <w:rPr>
          <w:rFonts w:ascii="Arial" w:hAnsi="Arial" w:cs="Arial"/>
          <w:iCs/>
          <w:sz w:val="16"/>
          <w:szCs w:val="16"/>
        </w:rPr>
        <w:t>i C.C. n°1 5 4 del 18/09/2006</w:t>
      </w:r>
    </w:p>
    <w:sectPr w:rsidR="006D7E76" w:rsidRPr="006D7E7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310"/>
    <w:rsid w:val="000010F6"/>
    <w:rsid w:val="000047BB"/>
    <w:rsid w:val="00011667"/>
    <w:rsid w:val="0001461C"/>
    <w:rsid w:val="00015DA6"/>
    <w:rsid w:val="00020F00"/>
    <w:rsid w:val="00066832"/>
    <w:rsid w:val="0007105D"/>
    <w:rsid w:val="000725F0"/>
    <w:rsid w:val="00075073"/>
    <w:rsid w:val="0008262A"/>
    <w:rsid w:val="00090DD8"/>
    <w:rsid w:val="0009538E"/>
    <w:rsid w:val="000C346A"/>
    <w:rsid w:val="000E41A0"/>
    <w:rsid w:val="00100E25"/>
    <w:rsid w:val="0011143F"/>
    <w:rsid w:val="0011595B"/>
    <w:rsid w:val="0012419E"/>
    <w:rsid w:val="0013020E"/>
    <w:rsid w:val="001613BD"/>
    <w:rsid w:val="00192312"/>
    <w:rsid w:val="001B39E1"/>
    <w:rsid w:val="001C6621"/>
    <w:rsid w:val="001E7541"/>
    <w:rsid w:val="001F30C8"/>
    <w:rsid w:val="00205974"/>
    <w:rsid w:val="002306FC"/>
    <w:rsid w:val="002312AC"/>
    <w:rsid w:val="002461E4"/>
    <w:rsid w:val="002511C3"/>
    <w:rsid w:val="00253D1F"/>
    <w:rsid w:val="00257460"/>
    <w:rsid w:val="00292DCA"/>
    <w:rsid w:val="002B47D7"/>
    <w:rsid w:val="002B628C"/>
    <w:rsid w:val="002C07C6"/>
    <w:rsid w:val="002C3460"/>
    <w:rsid w:val="00306BCF"/>
    <w:rsid w:val="00321BA0"/>
    <w:rsid w:val="003262B7"/>
    <w:rsid w:val="00356DDC"/>
    <w:rsid w:val="00361160"/>
    <w:rsid w:val="00367779"/>
    <w:rsid w:val="00380BA5"/>
    <w:rsid w:val="003841BD"/>
    <w:rsid w:val="00384396"/>
    <w:rsid w:val="003A4F94"/>
    <w:rsid w:val="003B1223"/>
    <w:rsid w:val="003B1E46"/>
    <w:rsid w:val="003B24EA"/>
    <w:rsid w:val="003E0286"/>
    <w:rsid w:val="003F5472"/>
    <w:rsid w:val="00407F17"/>
    <w:rsid w:val="00430225"/>
    <w:rsid w:val="00452EC7"/>
    <w:rsid w:val="0048377F"/>
    <w:rsid w:val="004934BC"/>
    <w:rsid w:val="00497AE5"/>
    <w:rsid w:val="004A1C85"/>
    <w:rsid w:val="004A5C17"/>
    <w:rsid w:val="004C48D2"/>
    <w:rsid w:val="004D0470"/>
    <w:rsid w:val="004D6699"/>
    <w:rsid w:val="004F35B4"/>
    <w:rsid w:val="004F72C7"/>
    <w:rsid w:val="0050223A"/>
    <w:rsid w:val="00506CD0"/>
    <w:rsid w:val="005113D3"/>
    <w:rsid w:val="00511D1B"/>
    <w:rsid w:val="005309F6"/>
    <w:rsid w:val="00533C84"/>
    <w:rsid w:val="00535DD8"/>
    <w:rsid w:val="00540CD2"/>
    <w:rsid w:val="00573090"/>
    <w:rsid w:val="00593ABB"/>
    <w:rsid w:val="00594AAC"/>
    <w:rsid w:val="005B2046"/>
    <w:rsid w:val="005B2446"/>
    <w:rsid w:val="005B5C8F"/>
    <w:rsid w:val="005B7428"/>
    <w:rsid w:val="005C191B"/>
    <w:rsid w:val="005E0109"/>
    <w:rsid w:val="005F59F1"/>
    <w:rsid w:val="0060611D"/>
    <w:rsid w:val="006117D8"/>
    <w:rsid w:val="00620356"/>
    <w:rsid w:val="00633650"/>
    <w:rsid w:val="006418D4"/>
    <w:rsid w:val="00642FD9"/>
    <w:rsid w:val="00646F1A"/>
    <w:rsid w:val="00647E4E"/>
    <w:rsid w:val="00651215"/>
    <w:rsid w:val="00660784"/>
    <w:rsid w:val="00672869"/>
    <w:rsid w:val="006779B3"/>
    <w:rsid w:val="00684963"/>
    <w:rsid w:val="006A431C"/>
    <w:rsid w:val="006A4DD6"/>
    <w:rsid w:val="006B58AF"/>
    <w:rsid w:val="006C5B1A"/>
    <w:rsid w:val="006C5C61"/>
    <w:rsid w:val="006D1994"/>
    <w:rsid w:val="006D7E76"/>
    <w:rsid w:val="006F1910"/>
    <w:rsid w:val="006F251F"/>
    <w:rsid w:val="007043D7"/>
    <w:rsid w:val="00704F03"/>
    <w:rsid w:val="00713763"/>
    <w:rsid w:val="0072614D"/>
    <w:rsid w:val="00726557"/>
    <w:rsid w:val="0073210A"/>
    <w:rsid w:val="007431CD"/>
    <w:rsid w:val="007521F6"/>
    <w:rsid w:val="00767783"/>
    <w:rsid w:val="0077144E"/>
    <w:rsid w:val="00774906"/>
    <w:rsid w:val="00775A90"/>
    <w:rsid w:val="007A76A8"/>
    <w:rsid w:val="007D436D"/>
    <w:rsid w:val="007D7B9B"/>
    <w:rsid w:val="007F6EFD"/>
    <w:rsid w:val="00821904"/>
    <w:rsid w:val="0082748B"/>
    <w:rsid w:val="0083250D"/>
    <w:rsid w:val="00836886"/>
    <w:rsid w:val="00847A7E"/>
    <w:rsid w:val="00860E8C"/>
    <w:rsid w:val="00867534"/>
    <w:rsid w:val="00884A76"/>
    <w:rsid w:val="008A408C"/>
    <w:rsid w:val="008C26B1"/>
    <w:rsid w:val="008C77C1"/>
    <w:rsid w:val="008D6AD8"/>
    <w:rsid w:val="008E1020"/>
    <w:rsid w:val="008E6736"/>
    <w:rsid w:val="008F6DB3"/>
    <w:rsid w:val="00903714"/>
    <w:rsid w:val="0091538E"/>
    <w:rsid w:val="00932672"/>
    <w:rsid w:val="00943203"/>
    <w:rsid w:val="00946215"/>
    <w:rsid w:val="00946B97"/>
    <w:rsid w:val="00951EFA"/>
    <w:rsid w:val="00957601"/>
    <w:rsid w:val="00972CE4"/>
    <w:rsid w:val="00975C3E"/>
    <w:rsid w:val="009B72E3"/>
    <w:rsid w:val="009C5941"/>
    <w:rsid w:val="009D0D03"/>
    <w:rsid w:val="009E3AEF"/>
    <w:rsid w:val="00A05980"/>
    <w:rsid w:val="00A15CF4"/>
    <w:rsid w:val="00A266DC"/>
    <w:rsid w:val="00A329CE"/>
    <w:rsid w:val="00A507B7"/>
    <w:rsid w:val="00A51541"/>
    <w:rsid w:val="00A56785"/>
    <w:rsid w:val="00A665FA"/>
    <w:rsid w:val="00A77BB3"/>
    <w:rsid w:val="00A83870"/>
    <w:rsid w:val="00A97CE2"/>
    <w:rsid w:val="00AA7E50"/>
    <w:rsid w:val="00AC2E8E"/>
    <w:rsid w:val="00AD0673"/>
    <w:rsid w:val="00AD2D32"/>
    <w:rsid w:val="00AD3B7A"/>
    <w:rsid w:val="00AD50B9"/>
    <w:rsid w:val="00B039F1"/>
    <w:rsid w:val="00B06E0D"/>
    <w:rsid w:val="00B10781"/>
    <w:rsid w:val="00B11193"/>
    <w:rsid w:val="00B13172"/>
    <w:rsid w:val="00B16812"/>
    <w:rsid w:val="00B4161C"/>
    <w:rsid w:val="00B63CEC"/>
    <w:rsid w:val="00B73537"/>
    <w:rsid w:val="00B8054F"/>
    <w:rsid w:val="00B8514D"/>
    <w:rsid w:val="00BA1E4F"/>
    <w:rsid w:val="00BB1EA4"/>
    <w:rsid w:val="00BB212F"/>
    <w:rsid w:val="00BB29AB"/>
    <w:rsid w:val="00BB5392"/>
    <w:rsid w:val="00BD2A54"/>
    <w:rsid w:val="00BF0D5F"/>
    <w:rsid w:val="00BF3CF6"/>
    <w:rsid w:val="00C1185A"/>
    <w:rsid w:val="00C20162"/>
    <w:rsid w:val="00C80AB6"/>
    <w:rsid w:val="00C81587"/>
    <w:rsid w:val="00C879B8"/>
    <w:rsid w:val="00C95ED2"/>
    <w:rsid w:val="00CB6CC2"/>
    <w:rsid w:val="00CE0923"/>
    <w:rsid w:val="00CF2D73"/>
    <w:rsid w:val="00D01885"/>
    <w:rsid w:val="00D07459"/>
    <w:rsid w:val="00D404F7"/>
    <w:rsid w:val="00D413A3"/>
    <w:rsid w:val="00D468CC"/>
    <w:rsid w:val="00D47677"/>
    <w:rsid w:val="00D47B66"/>
    <w:rsid w:val="00D567C0"/>
    <w:rsid w:val="00D66015"/>
    <w:rsid w:val="00D73504"/>
    <w:rsid w:val="00D808E8"/>
    <w:rsid w:val="00D82471"/>
    <w:rsid w:val="00DB100C"/>
    <w:rsid w:val="00DC5A6B"/>
    <w:rsid w:val="00DE36E5"/>
    <w:rsid w:val="00DF08B5"/>
    <w:rsid w:val="00DF2304"/>
    <w:rsid w:val="00E4190B"/>
    <w:rsid w:val="00E4221E"/>
    <w:rsid w:val="00E4453F"/>
    <w:rsid w:val="00E506D4"/>
    <w:rsid w:val="00E5384B"/>
    <w:rsid w:val="00E541FB"/>
    <w:rsid w:val="00E658FF"/>
    <w:rsid w:val="00E7395A"/>
    <w:rsid w:val="00E75364"/>
    <w:rsid w:val="00E800B8"/>
    <w:rsid w:val="00E91FF4"/>
    <w:rsid w:val="00E92F3E"/>
    <w:rsid w:val="00E933C8"/>
    <w:rsid w:val="00EF0930"/>
    <w:rsid w:val="00F0207D"/>
    <w:rsid w:val="00F04BA8"/>
    <w:rsid w:val="00F63875"/>
    <w:rsid w:val="00F716D5"/>
    <w:rsid w:val="00F73EAC"/>
    <w:rsid w:val="00F90108"/>
    <w:rsid w:val="00F93C06"/>
    <w:rsid w:val="00FB3310"/>
    <w:rsid w:val="00FE2FC2"/>
    <w:rsid w:val="00FE7468"/>
    <w:rsid w:val="00FE766B"/>
    <w:rsid w:val="00FF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848900-B801-4688-8E24-94A9F29D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FB331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331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91F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 dell'Economia e della Finanze</Company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ABRUSCATO SALVATORE</dc:creator>
  <cp:lastModifiedBy>Hadhraoui Salima</cp:lastModifiedBy>
  <cp:revision>2</cp:revision>
  <dcterms:created xsi:type="dcterms:W3CDTF">2019-07-24T08:48:00Z</dcterms:created>
  <dcterms:modified xsi:type="dcterms:W3CDTF">2019-07-24T08:48:00Z</dcterms:modified>
</cp:coreProperties>
</file>